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5A5A5" w:themeColor="background1" w:themeShade="A5"/>
  <w:body>
    <w:p w:rsidR="00C5759D" w:rsidRDefault="00E42270" w:rsidP="00E42270">
      <w:pPr>
        <w:jc w:val="center"/>
        <w:rPr>
          <w:rFonts w:ascii="Times New Roman" w:hAnsi="Times New Roman" w:cs="Times New Roman"/>
          <w:b/>
          <w:sz w:val="32"/>
          <w:szCs w:val="32"/>
          <w:u w:val="single"/>
        </w:rPr>
      </w:pPr>
      <w:r w:rsidRPr="00E42270">
        <w:rPr>
          <w:rFonts w:ascii="Times New Roman" w:hAnsi="Times New Roman" w:cs="Times New Roman"/>
          <w:b/>
          <w:sz w:val="32"/>
          <w:szCs w:val="32"/>
          <w:u w:val="single"/>
        </w:rPr>
        <w:t>LONG TERM CAPITAL GAIN</w:t>
      </w:r>
      <w:r>
        <w:rPr>
          <w:rFonts w:ascii="Times New Roman" w:hAnsi="Times New Roman" w:cs="Times New Roman"/>
          <w:b/>
          <w:sz w:val="32"/>
          <w:szCs w:val="32"/>
          <w:u w:val="single"/>
        </w:rPr>
        <w:t xml:space="preserve"> (SECTION 112A)</w:t>
      </w:r>
    </w:p>
    <w:p w:rsidR="00E42270" w:rsidRDefault="00E42270" w:rsidP="00E42270">
      <w:pPr>
        <w:jc w:val="center"/>
        <w:rPr>
          <w:rFonts w:ascii="Times New Roman" w:hAnsi="Times New Roman" w:cs="Times New Roman"/>
          <w:b/>
          <w:sz w:val="32"/>
          <w:szCs w:val="32"/>
          <w:u w:val="single"/>
        </w:rPr>
      </w:pPr>
    </w:p>
    <w:p w:rsidR="00E42270" w:rsidRDefault="00E42270" w:rsidP="00E42270">
      <w:pPr>
        <w:jc w:val="center"/>
        <w:rPr>
          <w:rFonts w:ascii="Times New Roman" w:hAnsi="Times New Roman" w:cs="Times New Roman"/>
          <w:b/>
          <w:sz w:val="32"/>
          <w:szCs w:val="32"/>
          <w:u w:val="single"/>
        </w:rPr>
      </w:pPr>
    </w:p>
    <w:p w:rsidR="00E42270" w:rsidRDefault="00E42270" w:rsidP="00E42270">
      <w:pPr>
        <w:rPr>
          <w:rFonts w:ascii="Times New Roman" w:hAnsi="Times New Roman" w:cs="Times New Roman"/>
          <w:b/>
          <w:sz w:val="32"/>
          <w:szCs w:val="32"/>
          <w:u w:val="single"/>
        </w:rPr>
      </w:pPr>
      <w:r>
        <w:rPr>
          <w:rFonts w:ascii="Times New Roman" w:hAnsi="Times New Roman" w:cs="Times New Roman"/>
          <w:b/>
          <w:sz w:val="32"/>
          <w:szCs w:val="32"/>
          <w:u w:val="single"/>
        </w:rPr>
        <w:t>Introduction</w:t>
      </w:r>
      <w:r w:rsidRPr="00FC0ADD">
        <w:rPr>
          <w:rFonts w:ascii="Times New Roman" w:hAnsi="Times New Roman" w:cs="Times New Roman"/>
          <w:b/>
          <w:sz w:val="32"/>
          <w:szCs w:val="32"/>
        </w:rPr>
        <w:t>:</w:t>
      </w:r>
    </w:p>
    <w:p w:rsidR="00E42270" w:rsidRDefault="00E42270" w:rsidP="00E42270">
      <w:pPr>
        <w:rPr>
          <w:rFonts w:ascii="Times New Roman" w:hAnsi="Times New Roman" w:cs="Times New Roman"/>
          <w:sz w:val="32"/>
          <w:szCs w:val="32"/>
        </w:rPr>
      </w:pPr>
      <w:r w:rsidRPr="00E42270">
        <w:rPr>
          <w:rFonts w:ascii="Times New Roman" w:hAnsi="Times New Roman" w:cs="Times New Roman"/>
          <w:sz w:val="32"/>
          <w:szCs w:val="32"/>
        </w:rPr>
        <w:t xml:space="preserve">To Minimize </w:t>
      </w:r>
      <w:r>
        <w:rPr>
          <w:rFonts w:ascii="Times New Roman" w:hAnsi="Times New Roman" w:cs="Times New Roman"/>
          <w:sz w:val="32"/>
          <w:szCs w:val="32"/>
        </w:rPr>
        <w:t xml:space="preserve">economic </w:t>
      </w:r>
      <w:proofErr w:type="spellStart"/>
      <w:r>
        <w:rPr>
          <w:rFonts w:ascii="Times New Roman" w:hAnsi="Times New Roman" w:cs="Times New Roman"/>
          <w:sz w:val="32"/>
          <w:szCs w:val="32"/>
        </w:rPr>
        <w:t>disortions</w:t>
      </w:r>
      <w:proofErr w:type="spellEnd"/>
      <w:r>
        <w:rPr>
          <w:rFonts w:ascii="Times New Roman" w:hAnsi="Times New Roman" w:cs="Times New Roman"/>
          <w:sz w:val="32"/>
          <w:szCs w:val="32"/>
        </w:rPr>
        <w:t xml:space="preserve"> and curb erosion of tax base, Section 112A provides that notwithstanding anything contained in section 112, a concessional tax rate of 10% will be </w:t>
      </w:r>
      <w:proofErr w:type="spellStart"/>
      <w:r>
        <w:rPr>
          <w:rFonts w:ascii="Times New Roman" w:hAnsi="Times New Roman" w:cs="Times New Roman"/>
          <w:sz w:val="32"/>
          <w:szCs w:val="32"/>
        </w:rPr>
        <w:t>leviable</w:t>
      </w:r>
      <w:proofErr w:type="spellEnd"/>
      <w:r>
        <w:rPr>
          <w:rFonts w:ascii="Times New Roman" w:hAnsi="Times New Roman" w:cs="Times New Roman"/>
          <w:sz w:val="32"/>
          <w:szCs w:val="32"/>
        </w:rPr>
        <w:t xml:space="preserve"> on </w:t>
      </w:r>
      <w:r w:rsidRPr="00F22EB0">
        <w:rPr>
          <w:rFonts w:ascii="Times New Roman" w:hAnsi="Times New Roman" w:cs="Times New Roman"/>
          <w:b/>
          <w:sz w:val="32"/>
          <w:szCs w:val="32"/>
        </w:rPr>
        <w:t xml:space="preserve">long term capital gain exceeding </w:t>
      </w:r>
      <w:proofErr w:type="spellStart"/>
      <w:r w:rsidRPr="00F22EB0">
        <w:rPr>
          <w:rFonts w:ascii="Times New Roman" w:hAnsi="Times New Roman" w:cs="Times New Roman"/>
          <w:b/>
          <w:sz w:val="32"/>
          <w:szCs w:val="32"/>
        </w:rPr>
        <w:t>Rs</w:t>
      </w:r>
      <w:proofErr w:type="spellEnd"/>
      <w:r w:rsidRPr="00F22EB0">
        <w:rPr>
          <w:rFonts w:ascii="Times New Roman" w:hAnsi="Times New Roman" w:cs="Times New Roman"/>
          <w:b/>
          <w:sz w:val="32"/>
          <w:szCs w:val="32"/>
        </w:rPr>
        <w:t xml:space="preserve"> 1,00,000</w:t>
      </w:r>
      <w:r>
        <w:rPr>
          <w:rFonts w:ascii="Times New Roman" w:hAnsi="Times New Roman" w:cs="Times New Roman"/>
          <w:sz w:val="32"/>
          <w:szCs w:val="32"/>
        </w:rPr>
        <w:t xml:space="preserve"> on transfer of –</w:t>
      </w:r>
    </w:p>
    <w:p w:rsidR="00E42270" w:rsidRDefault="00E42270" w:rsidP="00FC0ADD">
      <w:pPr>
        <w:pStyle w:val="ListParagraph"/>
        <w:numPr>
          <w:ilvl w:val="0"/>
          <w:numId w:val="1"/>
        </w:numPr>
        <w:ind w:left="851" w:hanging="491"/>
        <w:rPr>
          <w:rFonts w:ascii="Times New Roman" w:hAnsi="Times New Roman" w:cs="Times New Roman"/>
          <w:sz w:val="32"/>
          <w:szCs w:val="32"/>
        </w:rPr>
      </w:pPr>
      <w:r>
        <w:rPr>
          <w:rFonts w:ascii="Times New Roman" w:hAnsi="Times New Roman" w:cs="Times New Roman"/>
          <w:sz w:val="32"/>
          <w:szCs w:val="32"/>
        </w:rPr>
        <w:t>An Equity Share in a company or</w:t>
      </w:r>
    </w:p>
    <w:p w:rsidR="00E42270" w:rsidRDefault="00E42270" w:rsidP="00FC0ADD">
      <w:pPr>
        <w:pStyle w:val="ListParagraph"/>
        <w:numPr>
          <w:ilvl w:val="0"/>
          <w:numId w:val="1"/>
        </w:numPr>
        <w:ind w:left="851" w:hanging="491"/>
        <w:rPr>
          <w:rFonts w:ascii="Times New Roman" w:hAnsi="Times New Roman" w:cs="Times New Roman"/>
          <w:sz w:val="32"/>
          <w:szCs w:val="32"/>
        </w:rPr>
      </w:pPr>
      <w:r>
        <w:rPr>
          <w:rFonts w:ascii="Times New Roman" w:hAnsi="Times New Roman" w:cs="Times New Roman"/>
          <w:sz w:val="32"/>
          <w:szCs w:val="32"/>
        </w:rPr>
        <w:t>A unit of Equity Oriented Fund or</w:t>
      </w:r>
    </w:p>
    <w:p w:rsidR="00E42270" w:rsidRDefault="00E42270" w:rsidP="00B3578E">
      <w:pPr>
        <w:pStyle w:val="ListParagraph"/>
        <w:numPr>
          <w:ilvl w:val="0"/>
          <w:numId w:val="1"/>
        </w:numPr>
        <w:ind w:left="851" w:hanging="491"/>
        <w:rPr>
          <w:rFonts w:ascii="Times New Roman" w:hAnsi="Times New Roman" w:cs="Times New Roman"/>
          <w:sz w:val="32"/>
          <w:szCs w:val="32"/>
        </w:rPr>
      </w:pPr>
      <w:r>
        <w:rPr>
          <w:rFonts w:ascii="Times New Roman" w:hAnsi="Times New Roman" w:cs="Times New Roman"/>
          <w:sz w:val="32"/>
          <w:szCs w:val="32"/>
        </w:rPr>
        <w:t>A unit Of Business Trust</w:t>
      </w:r>
    </w:p>
    <w:p w:rsidR="00FC0ADD" w:rsidRPr="00E42270" w:rsidRDefault="00FC0ADD" w:rsidP="00FC0ADD">
      <w:pPr>
        <w:pStyle w:val="ListParagraph"/>
        <w:ind w:left="1080"/>
        <w:rPr>
          <w:rFonts w:ascii="Times New Roman" w:hAnsi="Times New Roman" w:cs="Times New Roman"/>
          <w:sz w:val="32"/>
          <w:szCs w:val="32"/>
        </w:rPr>
      </w:pPr>
    </w:p>
    <w:p w:rsidR="00E42270" w:rsidRDefault="00E42270" w:rsidP="00FC0ADD">
      <w:pPr>
        <w:pStyle w:val="ListParagraph"/>
        <w:ind w:left="0"/>
        <w:rPr>
          <w:rFonts w:ascii="Times New Roman" w:hAnsi="Times New Roman" w:cs="Times New Roman"/>
          <w:sz w:val="32"/>
          <w:szCs w:val="32"/>
        </w:rPr>
      </w:pPr>
    </w:p>
    <w:p w:rsidR="00FC0ADD" w:rsidRDefault="00FC0ADD" w:rsidP="00FC0ADD">
      <w:pPr>
        <w:pStyle w:val="ListParagraph"/>
        <w:ind w:left="0"/>
        <w:rPr>
          <w:rFonts w:ascii="Times New Roman" w:hAnsi="Times New Roman" w:cs="Times New Roman"/>
          <w:b/>
          <w:sz w:val="32"/>
          <w:szCs w:val="32"/>
        </w:rPr>
      </w:pPr>
      <w:r w:rsidRPr="00FC0ADD">
        <w:rPr>
          <w:rFonts w:ascii="Times New Roman" w:hAnsi="Times New Roman" w:cs="Times New Roman"/>
          <w:b/>
          <w:sz w:val="32"/>
          <w:szCs w:val="32"/>
          <w:u w:val="single"/>
        </w:rPr>
        <w:t>Condi</w:t>
      </w:r>
      <w:r>
        <w:rPr>
          <w:rFonts w:ascii="Times New Roman" w:hAnsi="Times New Roman" w:cs="Times New Roman"/>
          <w:b/>
          <w:sz w:val="32"/>
          <w:szCs w:val="32"/>
          <w:u w:val="single"/>
        </w:rPr>
        <w:t>tions to Avail Concessional Rate</w:t>
      </w:r>
      <w:r w:rsidRPr="00FC0ADD">
        <w:rPr>
          <w:rFonts w:ascii="Times New Roman" w:hAnsi="Times New Roman" w:cs="Times New Roman"/>
          <w:b/>
          <w:sz w:val="32"/>
          <w:szCs w:val="32"/>
        </w:rPr>
        <w:t>:</w:t>
      </w:r>
    </w:p>
    <w:p w:rsidR="00FC0ADD" w:rsidRPr="00FC0ADD" w:rsidRDefault="00FC0ADD" w:rsidP="00FC0ADD">
      <w:pPr>
        <w:pStyle w:val="ListParagraph"/>
        <w:ind w:left="0"/>
        <w:rPr>
          <w:rFonts w:ascii="Times New Roman" w:hAnsi="Times New Roman" w:cs="Times New Roman"/>
          <w:sz w:val="32"/>
          <w:szCs w:val="32"/>
        </w:rPr>
      </w:pPr>
    </w:p>
    <w:p w:rsidR="00FC0ADD" w:rsidRDefault="00FC0ADD" w:rsidP="00FC0ADD">
      <w:pPr>
        <w:pStyle w:val="ListParagraph"/>
        <w:numPr>
          <w:ilvl w:val="0"/>
          <w:numId w:val="3"/>
        </w:numPr>
        <w:ind w:left="851" w:hanging="491"/>
        <w:rPr>
          <w:rFonts w:ascii="Times New Roman" w:hAnsi="Times New Roman" w:cs="Times New Roman"/>
          <w:sz w:val="32"/>
          <w:szCs w:val="32"/>
        </w:rPr>
      </w:pPr>
      <w:r w:rsidRPr="00FC0ADD">
        <w:rPr>
          <w:rFonts w:ascii="Times New Roman" w:hAnsi="Times New Roman" w:cs="Times New Roman"/>
          <w:sz w:val="32"/>
          <w:szCs w:val="32"/>
        </w:rPr>
        <w:t>In case of equity share in a company. STT has been paid on acquisition &amp; transfer of such capital Asset.</w:t>
      </w:r>
    </w:p>
    <w:p w:rsidR="00B3578E" w:rsidRDefault="00B3578E" w:rsidP="00B3578E">
      <w:pPr>
        <w:pStyle w:val="ListParagraph"/>
        <w:ind w:left="851"/>
        <w:rPr>
          <w:rFonts w:ascii="Times New Roman" w:hAnsi="Times New Roman" w:cs="Times New Roman"/>
          <w:sz w:val="32"/>
          <w:szCs w:val="32"/>
        </w:rPr>
      </w:pPr>
    </w:p>
    <w:p w:rsidR="00B3578E" w:rsidRDefault="00B3578E" w:rsidP="00FC0ADD">
      <w:pPr>
        <w:pStyle w:val="ListParagraph"/>
        <w:numPr>
          <w:ilvl w:val="0"/>
          <w:numId w:val="3"/>
        </w:numPr>
        <w:ind w:left="851" w:hanging="491"/>
        <w:rPr>
          <w:rFonts w:ascii="Times New Roman" w:hAnsi="Times New Roman" w:cs="Times New Roman"/>
          <w:sz w:val="32"/>
          <w:szCs w:val="32"/>
        </w:rPr>
      </w:pPr>
      <w:r>
        <w:rPr>
          <w:rFonts w:ascii="Times New Roman" w:hAnsi="Times New Roman" w:cs="Times New Roman"/>
          <w:sz w:val="32"/>
          <w:szCs w:val="32"/>
        </w:rPr>
        <w:t>In case of unit of an equity oriented fund or unit of business trust, STT has been paid on transfer of such capital asset.</w:t>
      </w:r>
    </w:p>
    <w:p w:rsidR="00B3578E" w:rsidRPr="00B3578E" w:rsidRDefault="00B3578E" w:rsidP="00B3578E">
      <w:pPr>
        <w:pStyle w:val="ListParagraph"/>
        <w:rPr>
          <w:rFonts w:ascii="Times New Roman" w:hAnsi="Times New Roman" w:cs="Times New Roman"/>
          <w:sz w:val="32"/>
          <w:szCs w:val="32"/>
        </w:rPr>
      </w:pPr>
    </w:p>
    <w:p w:rsidR="00B3578E" w:rsidRDefault="00B3578E" w:rsidP="00B3578E">
      <w:pPr>
        <w:pStyle w:val="ListParagraph"/>
        <w:ind w:left="851"/>
        <w:rPr>
          <w:rFonts w:ascii="Times New Roman" w:hAnsi="Times New Roman" w:cs="Times New Roman"/>
          <w:sz w:val="32"/>
          <w:szCs w:val="32"/>
        </w:rPr>
      </w:pPr>
      <w:r>
        <w:rPr>
          <w:rFonts w:ascii="Times New Roman" w:hAnsi="Times New Roman" w:cs="Times New Roman"/>
          <w:sz w:val="32"/>
          <w:szCs w:val="32"/>
        </w:rPr>
        <w:t>However, the Central Government may, by notification in the Official Gazette, specify the nature of acquisition of equity share in a company on which the condition of payment of STT on acquisition would not be applicable.</w:t>
      </w:r>
    </w:p>
    <w:p w:rsidR="0051670C" w:rsidRDefault="0051670C" w:rsidP="00B3578E">
      <w:pPr>
        <w:pStyle w:val="ListParagraph"/>
        <w:ind w:left="851"/>
        <w:rPr>
          <w:rFonts w:ascii="Times New Roman" w:hAnsi="Times New Roman" w:cs="Times New Roman"/>
          <w:sz w:val="32"/>
          <w:szCs w:val="32"/>
        </w:rPr>
      </w:pPr>
    </w:p>
    <w:p w:rsidR="00B3578E" w:rsidRDefault="00B3578E" w:rsidP="00B3578E">
      <w:pPr>
        <w:pStyle w:val="ListParagraph"/>
        <w:ind w:left="851"/>
        <w:rPr>
          <w:rFonts w:ascii="Times New Roman" w:hAnsi="Times New Roman" w:cs="Times New Roman"/>
          <w:sz w:val="32"/>
          <w:szCs w:val="32"/>
        </w:rPr>
      </w:pPr>
    </w:p>
    <w:p w:rsidR="00B3578E" w:rsidRDefault="00B3578E" w:rsidP="00B3578E">
      <w:pPr>
        <w:pStyle w:val="ListParagraph"/>
        <w:ind w:left="0"/>
        <w:rPr>
          <w:rFonts w:ascii="Times New Roman" w:hAnsi="Times New Roman" w:cs="Times New Roman"/>
          <w:b/>
          <w:sz w:val="32"/>
          <w:szCs w:val="32"/>
        </w:rPr>
      </w:pPr>
      <w:r w:rsidRPr="00B3578E">
        <w:rPr>
          <w:rFonts w:ascii="Times New Roman" w:hAnsi="Times New Roman" w:cs="Times New Roman"/>
          <w:b/>
          <w:sz w:val="32"/>
          <w:szCs w:val="32"/>
          <w:u w:val="single"/>
        </w:rPr>
        <w:t>Adjustment of Unexhausted Basic Exemption Limit</w:t>
      </w:r>
      <w:r w:rsidRPr="00B3578E">
        <w:rPr>
          <w:rFonts w:ascii="Times New Roman" w:hAnsi="Times New Roman" w:cs="Times New Roman"/>
          <w:b/>
          <w:sz w:val="32"/>
          <w:szCs w:val="32"/>
        </w:rPr>
        <w:t>:</w:t>
      </w:r>
    </w:p>
    <w:p w:rsidR="0051670C" w:rsidRDefault="0051670C" w:rsidP="00B3578E">
      <w:pPr>
        <w:pStyle w:val="ListParagraph"/>
        <w:ind w:left="0"/>
        <w:rPr>
          <w:rFonts w:ascii="Times New Roman" w:hAnsi="Times New Roman" w:cs="Times New Roman"/>
          <w:b/>
          <w:sz w:val="32"/>
          <w:szCs w:val="32"/>
        </w:rPr>
      </w:pPr>
    </w:p>
    <w:p w:rsidR="00F22EB0" w:rsidRDefault="00F22EB0" w:rsidP="00B3578E">
      <w:pPr>
        <w:pStyle w:val="ListParagraph"/>
        <w:ind w:left="0"/>
        <w:rPr>
          <w:rFonts w:ascii="Times New Roman" w:hAnsi="Times New Roman" w:cs="Times New Roman"/>
          <w:b/>
          <w:sz w:val="32"/>
          <w:szCs w:val="32"/>
        </w:rPr>
      </w:pPr>
      <w:r>
        <w:rPr>
          <w:rFonts w:ascii="Times New Roman" w:hAnsi="Times New Roman" w:cs="Times New Roman"/>
          <w:sz w:val="32"/>
          <w:szCs w:val="32"/>
        </w:rPr>
        <w:t xml:space="preserve">In case of </w:t>
      </w:r>
      <w:r w:rsidRPr="00F22EB0">
        <w:rPr>
          <w:rFonts w:ascii="Times New Roman" w:hAnsi="Times New Roman" w:cs="Times New Roman"/>
          <w:b/>
          <w:sz w:val="32"/>
          <w:szCs w:val="32"/>
        </w:rPr>
        <w:t>Resident</w:t>
      </w:r>
      <w:r>
        <w:rPr>
          <w:rFonts w:ascii="Times New Roman" w:hAnsi="Times New Roman" w:cs="Times New Roman"/>
          <w:sz w:val="32"/>
          <w:szCs w:val="32"/>
        </w:rPr>
        <w:t xml:space="preserve"> </w:t>
      </w:r>
      <w:r w:rsidRPr="00F22EB0">
        <w:rPr>
          <w:rFonts w:ascii="Times New Roman" w:hAnsi="Times New Roman" w:cs="Times New Roman"/>
          <w:b/>
          <w:sz w:val="32"/>
          <w:szCs w:val="32"/>
        </w:rPr>
        <w:t>Individual &amp; HUF</w:t>
      </w:r>
      <w:r>
        <w:rPr>
          <w:rFonts w:ascii="Times New Roman" w:hAnsi="Times New Roman" w:cs="Times New Roman"/>
          <w:b/>
          <w:sz w:val="32"/>
          <w:szCs w:val="32"/>
        </w:rPr>
        <w:t xml:space="preserve">, </w:t>
      </w:r>
      <w:r w:rsidRPr="00F22EB0">
        <w:rPr>
          <w:rFonts w:ascii="Times New Roman" w:hAnsi="Times New Roman" w:cs="Times New Roman"/>
          <w:sz w:val="32"/>
          <w:szCs w:val="32"/>
        </w:rPr>
        <w:t>if the basic exemption</w:t>
      </w:r>
      <w:r>
        <w:rPr>
          <w:rFonts w:ascii="Times New Roman" w:hAnsi="Times New Roman" w:cs="Times New Roman"/>
          <w:sz w:val="32"/>
          <w:szCs w:val="32"/>
        </w:rPr>
        <w:t xml:space="preserve"> is not fully exhausted by any other income, then such long term capital gain exceeding </w:t>
      </w:r>
      <w:proofErr w:type="spellStart"/>
      <w:r>
        <w:rPr>
          <w:rFonts w:ascii="Times New Roman" w:hAnsi="Times New Roman" w:cs="Times New Roman"/>
          <w:sz w:val="32"/>
          <w:szCs w:val="32"/>
        </w:rPr>
        <w:t>Rs</w:t>
      </w:r>
      <w:proofErr w:type="spellEnd"/>
      <w:r>
        <w:rPr>
          <w:rFonts w:ascii="Times New Roman" w:hAnsi="Times New Roman" w:cs="Times New Roman"/>
          <w:sz w:val="32"/>
          <w:szCs w:val="32"/>
        </w:rPr>
        <w:t xml:space="preserve"> 1</w:t>
      </w:r>
      <w:proofErr w:type="gramStart"/>
      <w:r>
        <w:rPr>
          <w:rFonts w:ascii="Times New Roman" w:hAnsi="Times New Roman" w:cs="Times New Roman"/>
          <w:sz w:val="32"/>
          <w:szCs w:val="32"/>
        </w:rPr>
        <w:t>,00,000</w:t>
      </w:r>
      <w:proofErr w:type="gramEnd"/>
      <w:r>
        <w:rPr>
          <w:rFonts w:ascii="Times New Roman" w:hAnsi="Times New Roman" w:cs="Times New Roman"/>
          <w:sz w:val="32"/>
          <w:szCs w:val="32"/>
        </w:rPr>
        <w:t xml:space="preserve"> will be reduced by the unexhausted basic exemption limit a</w:t>
      </w:r>
      <w:r w:rsidR="00352ADD">
        <w:rPr>
          <w:rFonts w:ascii="Times New Roman" w:hAnsi="Times New Roman" w:cs="Times New Roman"/>
          <w:sz w:val="32"/>
          <w:szCs w:val="32"/>
        </w:rPr>
        <w:t>nd only the balance would be tax</w:t>
      </w:r>
      <w:r>
        <w:rPr>
          <w:rFonts w:ascii="Times New Roman" w:hAnsi="Times New Roman" w:cs="Times New Roman"/>
          <w:sz w:val="32"/>
          <w:szCs w:val="32"/>
        </w:rPr>
        <w:t>ed at 10%</w:t>
      </w:r>
      <w:r>
        <w:rPr>
          <w:rFonts w:ascii="Times New Roman" w:hAnsi="Times New Roman" w:cs="Times New Roman"/>
          <w:b/>
          <w:sz w:val="32"/>
          <w:szCs w:val="32"/>
        </w:rPr>
        <w:t xml:space="preserve"> </w:t>
      </w:r>
      <w:r w:rsidR="0051670C">
        <w:rPr>
          <w:rFonts w:ascii="Times New Roman" w:hAnsi="Times New Roman" w:cs="Times New Roman"/>
          <w:b/>
          <w:sz w:val="32"/>
          <w:szCs w:val="32"/>
        </w:rPr>
        <w:t>.</w:t>
      </w:r>
    </w:p>
    <w:p w:rsidR="00A575EB" w:rsidRDefault="00A575EB" w:rsidP="00B3578E">
      <w:pPr>
        <w:pStyle w:val="ListParagraph"/>
        <w:ind w:left="0"/>
        <w:rPr>
          <w:rFonts w:ascii="Times New Roman" w:hAnsi="Times New Roman" w:cs="Times New Roman"/>
          <w:b/>
          <w:sz w:val="32"/>
          <w:szCs w:val="32"/>
        </w:rPr>
      </w:pPr>
    </w:p>
    <w:p w:rsidR="0051670C" w:rsidRDefault="0051670C" w:rsidP="00B3578E">
      <w:pPr>
        <w:pStyle w:val="ListParagraph"/>
        <w:ind w:left="0"/>
        <w:rPr>
          <w:rFonts w:ascii="Times New Roman" w:hAnsi="Times New Roman" w:cs="Times New Roman"/>
          <w:sz w:val="32"/>
          <w:szCs w:val="32"/>
        </w:rPr>
      </w:pPr>
    </w:p>
    <w:p w:rsidR="00A575EB" w:rsidRDefault="00A575EB" w:rsidP="00B3578E">
      <w:pPr>
        <w:pStyle w:val="ListParagraph"/>
        <w:ind w:left="0"/>
        <w:rPr>
          <w:rFonts w:ascii="Times New Roman" w:hAnsi="Times New Roman" w:cs="Times New Roman"/>
          <w:sz w:val="32"/>
          <w:szCs w:val="32"/>
        </w:rPr>
      </w:pPr>
      <w:r w:rsidRPr="00A575EB">
        <w:rPr>
          <w:rFonts w:ascii="Times New Roman" w:hAnsi="Times New Roman" w:cs="Times New Roman"/>
          <w:sz w:val="32"/>
          <w:szCs w:val="32"/>
        </w:rPr>
        <w:t xml:space="preserve">However, the benefit of adjustment of </w:t>
      </w:r>
      <w:proofErr w:type="gramStart"/>
      <w:r w:rsidRPr="00A575EB">
        <w:rPr>
          <w:rFonts w:ascii="Times New Roman" w:hAnsi="Times New Roman" w:cs="Times New Roman"/>
          <w:sz w:val="32"/>
          <w:szCs w:val="32"/>
        </w:rPr>
        <w:t>Unexhausted</w:t>
      </w:r>
      <w:proofErr w:type="gramEnd"/>
      <w:r w:rsidRPr="00A575EB">
        <w:rPr>
          <w:rFonts w:ascii="Times New Roman" w:hAnsi="Times New Roman" w:cs="Times New Roman"/>
          <w:sz w:val="32"/>
          <w:szCs w:val="32"/>
        </w:rPr>
        <w:t xml:space="preserve"> ba</w:t>
      </w:r>
      <w:r>
        <w:rPr>
          <w:rFonts w:ascii="Times New Roman" w:hAnsi="Times New Roman" w:cs="Times New Roman"/>
          <w:sz w:val="32"/>
          <w:szCs w:val="32"/>
        </w:rPr>
        <w:t>sic exemption limit is not avai</w:t>
      </w:r>
      <w:r w:rsidRPr="00A575EB">
        <w:rPr>
          <w:rFonts w:ascii="Times New Roman" w:hAnsi="Times New Roman" w:cs="Times New Roman"/>
          <w:sz w:val="32"/>
          <w:szCs w:val="32"/>
        </w:rPr>
        <w:t>lable</w:t>
      </w:r>
      <w:r>
        <w:rPr>
          <w:rFonts w:ascii="Times New Roman" w:hAnsi="Times New Roman" w:cs="Times New Roman"/>
          <w:sz w:val="32"/>
          <w:szCs w:val="32"/>
        </w:rPr>
        <w:t xml:space="preserve"> in the case of </w:t>
      </w:r>
      <w:r w:rsidRPr="00A575EB">
        <w:rPr>
          <w:rFonts w:ascii="Times New Roman" w:hAnsi="Times New Roman" w:cs="Times New Roman"/>
          <w:b/>
          <w:sz w:val="32"/>
          <w:szCs w:val="32"/>
        </w:rPr>
        <w:t>Non-Residents</w:t>
      </w:r>
      <w:r>
        <w:rPr>
          <w:rFonts w:ascii="Times New Roman" w:hAnsi="Times New Roman" w:cs="Times New Roman"/>
          <w:sz w:val="32"/>
          <w:szCs w:val="32"/>
        </w:rPr>
        <w:t xml:space="preserve">. It is also not available in case of </w:t>
      </w:r>
      <w:r w:rsidRPr="00A575EB">
        <w:rPr>
          <w:rFonts w:ascii="Times New Roman" w:hAnsi="Times New Roman" w:cs="Times New Roman"/>
          <w:b/>
          <w:sz w:val="32"/>
          <w:szCs w:val="32"/>
        </w:rPr>
        <w:t>Resident AOP &amp; BOIs</w:t>
      </w:r>
      <w:r>
        <w:rPr>
          <w:rFonts w:ascii="Times New Roman" w:hAnsi="Times New Roman" w:cs="Times New Roman"/>
          <w:sz w:val="32"/>
          <w:szCs w:val="32"/>
        </w:rPr>
        <w:t>.</w:t>
      </w:r>
    </w:p>
    <w:p w:rsidR="000D3976" w:rsidRDefault="000D3976" w:rsidP="00B3578E">
      <w:pPr>
        <w:pStyle w:val="ListParagraph"/>
        <w:ind w:left="0"/>
        <w:rPr>
          <w:rFonts w:ascii="Times New Roman" w:hAnsi="Times New Roman" w:cs="Times New Roman"/>
          <w:sz w:val="32"/>
          <w:szCs w:val="32"/>
        </w:rPr>
      </w:pPr>
    </w:p>
    <w:p w:rsidR="00A575EB" w:rsidRDefault="00A575EB" w:rsidP="00B3578E">
      <w:pPr>
        <w:pStyle w:val="ListParagraph"/>
        <w:ind w:left="0"/>
        <w:rPr>
          <w:rFonts w:ascii="Times New Roman" w:hAnsi="Times New Roman" w:cs="Times New Roman"/>
          <w:sz w:val="32"/>
          <w:szCs w:val="32"/>
        </w:rPr>
      </w:pPr>
    </w:p>
    <w:p w:rsidR="00A575EB" w:rsidRPr="00A575EB" w:rsidRDefault="00A575EB" w:rsidP="00B3578E">
      <w:pPr>
        <w:pStyle w:val="ListParagraph"/>
        <w:ind w:left="0"/>
        <w:rPr>
          <w:rFonts w:ascii="Times New Roman" w:hAnsi="Times New Roman" w:cs="Times New Roman"/>
          <w:b/>
          <w:sz w:val="32"/>
          <w:szCs w:val="32"/>
          <w:u w:val="single"/>
        </w:rPr>
      </w:pPr>
    </w:p>
    <w:p w:rsidR="00FC0ADD" w:rsidRDefault="0051670C" w:rsidP="00FC0ADD">
      <w:pPr>
        <w:pStyle w:val="ListParagraph"/>
        <w:ind w:left="0"/>
        <w:rPr>
          <w:rFonts w:ascii="Times New Roman" w:hAnsi="Times New Roman" w:cs="Times New Roman"/>
          <w:b/>
          <w:sz w:val="32"/>
          <w:szCs w:val="32"/>
        </w:rPr>
      </w:pPr>
      <w:r w:rsidRPr="0051670C">
        <w:rPr>
          <w:rFonts w:ascii="Times New Roman" w:hAnsi="Times New Roman" w:cs="Times New Roman"/>
          <w:b/>
          <w:sz w:val="32"/>
          <w:szCs w:val="32"/>
          <w:u w:val="single"/>
        </w:rPr>
        <w:t>No deduction under Chapter VI- A against LTCG taxable under 112A</w:t>
      </w:r>
      <w:r w:rsidRPr="00B3578E">
        <w:rPr>
          <w:rFonts w:ascii="Times New Roman" w:hAnsi="Times New Roman" w:cs="Times New Roman"/>
          <w:b/>
          <w:sz w:val="32"/>
          <w:szCs w:val="32"/>
        </w:rPr>
        <w:t>:</w:t>
      </w:r>
    </w:p>
    <w:p w:rsidR="002D301D" w:rsidRDefault="002D301D" w:rsidP="00FC0ADD">
      <w:pPr>
        <w:pStyle w:val="ListParagraph"/>
        <w:ind w:left="0"/>
        <w:rPr>
          <w:rFonts w:ascii="Times New Roman" w:hAnsi="Times New Roman" w:cs="Times New Roman"/>
          <w:b/>
          <w:sz w:val="32"/>
          <w:szCs w:val="32"/>
        </w:rPr>
      </w:pPr>
    </w:p>
    <w:p w:rsidR="002D301D" w:rsidRDefault="002D301D" w:rsidP="00FC0ADD">
      <w:pPr>
        <w:pStyle w:val="ListParagraph"/>
        <w:ind w:left="0"/>
        <w:rPr>
          <w:rFonts w:ascii="Times New Roman" w:hAnsi="Times New Roman" w:cs="Times New Roman"/>
          <w:sz w:val="32"/>
          <w:szCs w:val="32"/>
        </w:rPr>
      </w:pPr>
      <w:r>
        <w:rPr>
          <w:rFonts w:ascii="Times New Roman" w:hAnsi="Times New Roman" w:cs="Times New Roman"/>
          <w:sz w:val="32"/>
          <w:szCs w:val="32"/>
        </w:rPr>
        <w:t>Deductions under Chapter VI-A cannot be availed in respect of such long term capital gains on equity shares of a company or unit of equity oriented fund or unit of business trust included in the total income</w:t>
      </w:r>
      <w:r w:rsidR="000D3976">
        <w:rPr>
          <w:rFonts w:ascii="Times New Roman" w:hAnsi="Times New Roman" w:cs="Times New Roman"/>
          <w:sz w:val="32"/>
          <w:szCs w:val="32"/>
        </w:rPr>
        <w:t xml:space="preserve"> of the assesse.</w:t>
      </w:r>
    </w:p>
    <w:p w:rsidR="000D3976" w:rsidRDefault="000D3976" w:rsidP="00FC0ADD">
      <w:pPr>
        <w:pStyle w:val="ListParagraph"/>
        <w:ind w:left="0"/>
        <w:rPr>
          <w:rFonts w:ascii="Times New Roman" w:hAnsi="Times New Roman" w:cs="Times New Roman"/>
          <w:sz w:val="32"/>
          <w:szCs w:val="32"/>
        </w:rPr>
      </w:pPr>
    </w:p>
    <w:p w:rsidR="000D3976" w:rsidRDefault="000D3976" w:rsidP="00FC0ADD">
      <w:pPr>
        <w:pStyle w:val="ListParagraph"/>
        <w:ind w:left="0"/>
        <w:rPr>
          <w:rFonts w:ascii="Times New Roman" w:hAnsi="Times New Roman" w:cs="Times New Roman"/>
          <w:sz w:val="32"/>
          <w:szCs w:val="32"/>
        </w:rPr>
      </w:pPr>
    </w:p>
    <w:p w:rsidR="000D3976" w:rsidRDefault="000D3976" w:rsidP="00FC0ADD">
      <w:pPr>
        <w:pStyle w:val="ListParagraph"/>
        <w:ind w:left="0"/>
        <w:rPr>
          <w:rFonts w:ascii="Times New Roman" w:hAnsi="Times New Roman" w:cs="Times New Roman"/>
          <w:b/>
          <w:sz w:val="32"/>
          <w:szCs w:val="32"/>
        </w:rPr>
      </w:pPr>
      <w:r>
        <w:rPr>
          <w:rFonts w:ascii="Times New Roman" w:hAnsi="Times New Roman" w:cs="Times New Roman"/>
          <w:b/>
          <w:sz w:val="32"/>
          <w:szCs w:val="32"/>
          <w:u w:val="single"/>
        </w:rPr>
        <w:t>No Benefit of Rebate under section 87A against LTCG taxable under section 112A</w:t>
      </w:r>
      <w:r w:rsidRPr="000D3976">
        <w:rPr>
          <w:rFonts w:ascii="Times New Roman" w:hAnsi="Times New Roman" w:cs="Times New Roman"/>
          <w:b/>
          <w:sz w:val="32"/>
          <w:szCs w:val="32"/>
        </w:rPr>
        <w:t>:</w:t>
      </w:r>
    </w:p>
    <w:p w:rsidR="000D3976" w:rsidRDefault="000D3976" w:rsidP="00FC0ADD">
      <w:pPr>
        <w:pStyle w:val="ListParagraph"/>
        <w:ind w:left="0"/>
        <w:rPr>
          <w:rFonts w:ascii="Times New Roman" w:hAnsi="Times New Roman" w:cs="Times New Roman"/>
          <w:b/>
          <w:sz w:val="32"/>
          <w:szCs w:val="32"/>
        </w:rPr>
      </w:pPr>
    </w:p>
    <w:p w:rsidR="000D3976" w:rsidRDefault="000D3976" w:rsidP="00FC0ADD">
      <w:pPr>
        <w:pStyle w:val="ListParagraph"/>
        <w:ind w:left="0"/>
        <w:rPr>
          <w:rFonts w:ascii="Times New Roman" w:hAnsi="Times New Roman" w:cs="Times New Roman"/>
          <w:sz w:val="32"/>
          <w:szCs w:val="32"/>
        </w:rPr>
      </w:pPr>
      <w:r w:rsidRPr="000D3976">
        <w:rPr>
          <w:rFonts w:ascii="Times New Roman" w:hAnsi="Times New Roman" w:cs="Times New Roman"/>
          <w:sz w:val="32"/>
          <w:szCs w:val="32"/>
        </w:rPr>
        <w:t>Rebate under section 87A is not available in respect of tax payable @10% on LTCG under section 112A</w:t>
      </w:r>
    </w:p>
    <w:p w:rsidR="00641FF5" w:rsidRDefault="00641FF5" w:rsidP="00FC0ADD">
      <w:pPr>
        <w:pStyle w:val="ListParagraph"/>
        <w:ind w:left="0"/>
        <w:rPr>
          <w:rFonts w:ascii="Times New Roman" w:hAnsi="Times New Roman" w:cs="Times New Roman"/>
          <w:sz w:val="32"/>
          <w:szCs w:val="32"/>
        </w:rPr>
      </w:pPr>
    </w:p>
    <w:p w:rsidR="00641FF5" w:rsidRDefault="00351AE4" w:rsidP="00FC0ADD">
      <w:pPr>
        <w:pStyle w:val="ListParagraph"/>
        <w:ind w:left="0"/>
        <w:rPr>
          <w:rFonts w:ascii="Times New Roman" w:hAnsi="Times New Roman" w:cs="Times New Roman"/>
          <w:b/>
          <w:sz w:val="32"/>
          <w:szCs w:val="32"/>
          <w:u w:val="single"/>
        </w:rPr>
      </w:pPr>
      <w:r>
        <w:rPr>
          <w:rFonts w:ascii="Times New Roman" w:hAnsi="Times New Roman" w:cs="Times New Roman"/>
          <w:b/>
          <w:sz w:val="32"/>
          <w:szCs w:val="32"/>
          <w:u w:val="single"/>
        </w:rPr>
        <w:t xml:space="preserve">Criteria for Capital Loss Set </w:t>
      </w:r>
      <w:proofErr w:type="gramStart"/>
      <w:r>
        <w:rPr>
          <w:rFonts w:ascii="Times New Roman" w:hAnsi="Times New Roman" w:cs="Times New Roman"/>
          <w:b/>
          <w:sz w:val="32"/>
          <w:szCs w:val="32"/>
          <w:u w:val="single"/>
        </w:rPr>
        <w:t xml:space="preserve">Off </w:t>
      </w:r>
      <w:r w:rsidRPr="00351AE4">
        <w:rPr>
          <w:rFonts w:ascii="Times New Roman" w:hAnsi="Times New Roman" w:cs="Times New Roman"/>
          <w:b/>
          <w:sz w:val="32"/>
          <w:szCs w:val="32"/>
        </w:rPr>
        <w:t>:</w:t>
      </w:r>
      <w:proofErr w:type="gramEnd"/>
    </w:p>
    <w:p w:rsidR="00641FF5" w:rsidRPr="00641FF5" w:rsidRDefault="00641FF5" w:rsidP="00FC0ADD">
      <w:pPr>
        <w:pStyle w:val="ListParagraph"/>
        <w:ind w:left="0"/>
        <w:rPr>
          <w:rFonts w:ascii="Times New Roman" w:hAnsi="Times New Roman" w:cs="Times New Roman"/>
          <w:sz w:val="32"/>
          <w:szCs w:val="32"/>
        </w:rPr>
      </w:pPr>
    </w:p>
    <w:p w:rsidR="00641FF5" w:rsidRDefault="00351AE4" w:rsidP="00FC0ADD">
      <w:pPr>
        <w:pStyle w:val="ListParagraph"/>
        <w:ind w:left="0"/>
        <w:rPr>
          <w:rFonts w:ascii="Times New Roman" w:hAnsi="Times New Roman" w:cs="Times New Roman"/>
          <w:sz w:val="32"/>
          <w:szCs w:val="32"/>
        </w:rPr>
      </w:pPr>
      <w:r>
        <w:rPr>
          <w:rFonts w:ascii="Times New Roman" w:hAnsi="Times New Roman" w:cs="Times New Roman"/>
          <w:sz w:val="32"/>
          <w:szCs w:val="32"/>
        </w:rPr>
        <w:t xml:space="preserve">As per Section 70(3) </w:t>
      </w:r>
      <w:r w:rsidR="00641FF5" w:rsidRPr="00641FF5">
        <w:rPr>
          <w:rFonts w:ascii="Times New Roman" w:hAnsi="Times New Roman" w:cs="Times New Roman"/>
          <w:sz w:val="32"/>
          <w:szCs w:val="32"/>
        </w:rPr>
        <w:t>Short term capital loss is allowed to be set off against both short term capital gain and long term capital gain. However, long term capital loss can be set off onl</w:t>
      </w:r>
      <w:r w:rsidR="00641FF5">
        <w:rPr>
          <w:rFonts w:ascii="Times New Roman" w:hAnsi="Times New Roman" w:cs="Times New Roman"/>
          <w:sz w:val="32"/>
          <w:szCs w:val="32"/>
        </w:rPr>
        <w:t>y against long term capital gain and n</w:t>
      </w:r>
      <w:r w:rsidR="00641FF5" w:rsidRPr="00641FF5">
        <w:rPr>
          <w:rFonts w:ascii="Times New Roman" w:hAnsi="Times New Roman" w:cs="Times New Roman"/>
          <w:sz w:val="32"/>
          <w:szCs w:val="32"/>
        </w:rPr>
        <w:t>ot short term capital gain.</w:t>
      </w:r>
    </w:p>
    <w:p w:rsidR="00351AE4" w:rsidRDefault="00351AE4" w:rsidP="00FC0ADD">
      <w:pPr>
        <w:pStyle w:val="ListParagraph"/>
        <w:ind w:left="0"/>
        <w:rPr>
          <w:rFonts w:ascii="Times New Roman" w:hAnsi="Times New Roman" w:cs="Times New Roman"/>
          <w:sz w:val="32"/>
          <w:szCs w:val="32"/>
        </w:rPr>
      </w:pPr>
    </w:p>
    <w:p w:rsidR="00351AE4" w:rsidRDefault="00351AE4" w:rsidP="00FC0ADD">
      <w:pPr>
        <w:pStyle w:val="ListParagraph"/>
        <w:ind w:left="0"/>
        <w:rPr>
          <w:rFonts w:ascii="Times New Roman" w:hAnsi="Times New Roman" w:cs="Times New Roman"/>
          <w:sz w:val="32"/>
          <w:szCs w:val="32"/>
        </w:rPr>
      </w:pPr>
    </w:p>
    <w:p w:rsidR="00351AE4" w:rsidRDefault="00351AE4" w:rsidP="00FC0ADD">
      <w:pPr>
        <w:pStyle w:val="ListParagraph"/>
        <w:ind w:left="0"/>
        <w:rPr>
          <w:rFonts w:ascii="Times New Roman" w:hAnsi="Times New Roman" w:cs="Times New Roman"/>
          <w:sz w:val="32"/>
          <w:szCs w:val="32"/>
        </w:rPr>
      </w:pPr>
      <w:r>
        <w:rPr>
          <w:rFonts w:ascii="Times New Roman" w:hAnsi="Times New Roman" w:cs="Times New Roman"/>
          <w:sz w:val="32"/>
          <w:szCs w:val="32"/>
        </w:rPr>
        <w:t>As per Section 71 the net result of computation under head “Capital Gain” is a loss. Such capital loss cannot be set-off against income under any other head.</w:t>
      </w:r>
    </w:p>
    <w:p w:rsidR="00EB07D9" w:rsidRDefault="00EB07D9" w:rsidP="00FC0ADD">
      <w:pPr>
        <w:pStyle w:val="ListParagraph"/>
        <w:ind w:left="0"/>
        <w:rPr>
          <w:rFonts w:ascii="Times New Roman" w:hAnsi="Times New Roman" w:cs="Times New Roman"/>
          <w:sz w:val="32"/>
          <w:szCs w:val="32"/>
        </w:rPr>
      </w:pPr>
    </w:p>
    <w:p w:rsidR="00EB07D9" w:rsidRDefault="00EB07D9" w:rsidP="00FC0ADD">
      <w:pPr>
        <w:pStyle w:val="ListParagraph"/>
        <w:ind w:left="0"/>
        <w:rPr>
          <w:rFonts w:ascii="Times New Roman" w:hAnsi="Times New Roman" w:cs="Times New Roman"/>
          <w:sz w:val="32"/>
          <w:szCs w:val="32"/>
        </w:rPr>
      </w:pPr>
      <w:r>
        <w:rPr>
          <w:rFonts w:ascii="Times New Roman" w:hAnsi="Times New Roman" w:cs="Times New Roman"/>
          <w:sz w:val="32"/>
          <w:szCs w:val="32"/>
        </w:rPr>
        <w:lastRenderedPageBreak/>
        <w:t xml:space="preserve">As per Section 74, the unabsorbed loss shall be carried forward </w:t>
      </w:r>
      <w:proofErr w:type="spellStart"/>
      <w:r>
        <w:rPr>
          <w:rFonts w:ascii="Times New Roman" w:hAnsi="Times New Roman" w:cs="Times New Roman"/>
          <w:sz w:val="32"/>
          <w:szCs w:val="32"/>
        </w:rPr>
        <w:t>upto</w:t>
      </w:r>
      <w:proofErr w:type="spellEnd"/>
      <w:r>
        <w:rPr>
          <w:rFonts w:ascii="Times New Roman" w:hAnsi="Times New Roman" w:cs="Times New Roman"/>
          <w:sz w:val="32"/>
          <w:szCs w:val="32"/>
        </w:rPr>
        <w:t xml:space="preserve"> 8 assessment years immediately succeeding the assessment year for which loss was first computed.</w:t>
      </w:r>
    </w:p>
    <w:p w:rsidR="001910C0" w:rsidRDefault="001910C0" w:rsidP="00FC0ADD">
      <w:pPr>
        <w:pStyle w:val="ListParagraph"/>
        <w:ind w:left="0"/>
        <w:rPr>
          <w:rFonts w:ascii="Times New Roman" w:hAnsi="Times New Roman" w:cs="Times New Roman"/>
          <w:sz w:val="32"/>
          <w:szCs w:val="32"/>
        </w:rPr>
      </w:pPr>
      <w:bookmarkStart w:id="0" w:name="_GoBack"/>
      <w:bookmarkEnd w:id="0"/>
    </w:p>
    <w:p w:rsidR="005307D6" w:rsidRDefault="005307D6" w:rsidP="00FC0ADD">
      <w:pPr>
        <w:pStyle w:val="ListParagraph"/>
        <w:ind w:left="0"/>
        <w:rPr>
          <w:rFonts w:ascii="Times New Roman" w:hAnsi="Times New Roman" w:cs="Times New Roman"/>
          <w:sz w:val="32"/>
          <w:szCs w:val="32"/>
        </w:rPr>
      </w:pPr>
    </w:p>
    <w:p w:rsidR="005307D6" w:rsidRDefault="005307D6" w:rsidP="00FC0ADD">
      <w:pPr>
        <w:pStyle w:val="ListParagraph"/>
        <w:ind w:left="0"/>
        <w:rPr>
          <w:rFonts w:ascii="Times New Roman" w:hAnsi="Times New Roman" w:cs="Times New Roman"/>
          <w:sz w:val="32"/>
          <w:szCs w:val="32"/>
        </w:rPr>
      </w:pPr>
    </w:p>
    <w:p w:rsidR="005307D6" w:rsidRDefault="005307D6" w:rsidP="00FC0ADD">
      <w:pPr>
        <w:pStyle w:val="ListParagraph"/>
        <w:ind w:left="0"/>
        <w:rPr>
          <w:rFonts w:ascii="Times New Roman" w:hAnsi="Times New Roman" w:cs="Times New Roman"/>
          <w:sz w:val="32"/>
          <w:szCs w:val="32"/>
        </w:rPr>
      </w:pPr>
    </w:p>
    <w:p w:rsidR="005307D6" w:rsidRPr="005307D6" w:rsidRDefault="005307D6" w:rsidP="00FC0ADD">
      <w:pPr>
        <w:pStyle w:val="ListParagraph"/>
        <w:ind w:left="0"/>
        <w:rPr>
          <w:rFonts w:ascii="Times New Roman" w:hAnsi="Times New Roman" w:cs="Times New Roman"/>
          <w:b/>
          <w:sz w:val="32"/>
          <w:szCs w:val="32"/>
          <w:u w:val="single"/>
        </w:rPr>
      </w:pPr>
      <w:r w:rsidRPr="005307D6">
        <w:rPr>
          <w:rFonts w:ascii="Times New Roman" w:hAnsi="Times New Roman" w:cs="Times New Roman"/>
          <w:b/>
          <w:sz w:val="32"/>
          <w:szCs w:val="32"/>
          <w:u w:val="single"/>
        </w:rPr>
        <w:t>Contact Details</w:t>
      </w:r>
      <w:r w:rsidRPr="005307D6">
        <w:rPr>
          <w:rFonts w:ascii="Times New Roman" w:hAnsi="Times New Roman" w:cs="Times New Roman"/>
          <w:b/>
          <w:sz w:val="32"/>
          <w:szCs w:val="32"/>
        </w:rPr>
        <w:t>:</w:t>
      </w:r>
    </w:p>
    <w:p w:rsidR="005307D6" w:rsidRDefault="005307D6" w:rsidP="00FC0ADD">
      <w:pPr>
        <w:pStyle w:val="ListParagraph"/>
        <w:ind w:left="0"/>
        <w:rPr>
          <w:rFonts w:ascii="Times New Roman" w:hAnsi="Times New Roman" w:cs="Times New Roman"/>
          <w:sz w:val="32"/>
          <w:szCs w:val="32"/>
        </w:rPr>
      </w:pPr>
      <w:r>
        <w:rPr>
          <w:rFonts w:ascii="Times New Roman" w:hAnsi="Times New Roman" w:cs="Times New Roman"/>
          <w:sz w:val="32"/>
          <w:szCs w:val="32"/>
        </w:rPr>
        <w:t>Sahil Dhingra</w:t>
      </w:r>
    </w:p>
    <w:p w:rsidR="005307D6" w:rsidRDefault="005307D6" w:rsidP="00FC0ADD">
      <w:pPr>
        <w:pStyle w:val="ListParagraph"/>
        <w:ind w:left="0"/>
        <w:rPr>
          <w:rFonts w:ascii="Times New Roman" w:hAnsi="Times New Roman" w:cs="Times New Roman"/>
          <w:sz w:val="32"/>
          <w:szCs w:val="32"/>
        </w:rPr>
      </w:pPr>
      <w:hyperlink r:id="rId6" w:history="1">
        <w:r w:rsidRPr="001304EF">
          <w:rPr>
            <w:rStyle w:val="Hyperlink"/>
            <w:rFonts w:ascii="Times New Roman" w:hAnsi="Times New Roman" w:cs="Times New Roman"/>
            <w:sz w:val="32"/>
            <w:szCs w:val="32"/>
          </w:rPr>
          <w:t>Sahildhingra9697@gmail.com</w:t>
        </w:r>
      </w:hyperlink>
    </w:p>
    <w:p w:rsidR="005307D6" w:rsidRPr="00641FF5" w:rsidRDefault="005307D6" w:rsidP="00FC0ADD">
      <w:pPr>
        <w:pStyle w:val="ListParagraph"/>
        <w:ind w:left="0"/>
        <w:rPr>
          <w:rFonts w:ascii="Times New Roman" w:hAnsi="Times New Roman" w:cs="Times New Roman"/>
          <w:sz w:val="32"/>
          <w:szCs w:val="32"/>
        </w:rPr>
      </w:pPr>
      <w:r>
        <w:rPr>
          <w:rFonts w:ascii="Times New Roman" w:hAnsi="Times New Roman" w:cs="Times New Roman"/>
          <w:sz w:val="32"/>
          <w:szCs w:val="32"/>
        </w:rPr>
        <w:t>7042226920</w:t>
      </w:r>
    </w:p>
    <w:p w:rsidR="0051670C" w:rsidRPr="0051670C" w:rsidRDefault="0051670C" w:rsidP="00FC0ADD">
      <w:pPr>
        <w:pStyle w:val="ListParagraph"/>
        <w:ind w:left="0"/>
        <w:rPr>
          <w:rFonts w:ascii="Times New Roman" w:hAnsi="Times New Roman" w:cs="Times New Roman"/>
          <w:sz w:val="32"/>
          <w:szCs w:val="32"/>
        </w:rPr>
      </w:pPr>
    </w:p>
    <w:p w:rsidR="00FC0ADD" w:rsidRDefault="00FC0ADD" w:rsidP="00E42270">
      <w:pPr>
        <w:pStyle w:val="ListParagraph"/>
        <w:ind w:left="1080"/>
        <w:rPr>
          <w:rFonts w:ascii="Times New Roman" w:hAnsi="Times New Roman" w:cs="Times New Roman"/>
          <w:sz w:val="32"/>
          <w:szCs w:val="32"/>
        </w:rPr>
      </w:pPr>
    </w:p>
    <w:p w:rsidR="00B3578E" w:rsidRDefault="00B3578E" w:rsidP="00E42270">
      <w:pPr>
        <w:pStyle w:val="ListParagraph"/>
        <w:ind w:left="1080"/>
        <w:rPr>
          <w:rFonts w:ascii="Times New Roman" w:hAnsi="Times New Roman" w:cs="Times New Roman"/>
          <w:sz w:val="32"/>
          <w:szCs w:val="32"/>
        </w:rPr>
      </w:pPr>
    </w:p>
    <w:p w:rsidR="00B3578E" w:rsidRDefault="00B3578E" w:rsidP="00E42270">
      <w:pPr>
        <w:pStyle w:val="ListParagraph"/>
        <w:ind w:left="1080"/>
        <w:rPr>
          <w:rFonts w:ascii="Times New Roman" w:hAnsi="Times New Roman" w:cs="Times New Roman"/>
          <w:sz w:val="32"/>
          <w:szCs w:val="32"/>
        </w:rPr>
      </w:pPr>
    </w:p>
    <w:p w:rsidR="00B3578E" w:rsidRDefault="00B3578E" w:rsidP="00E42270">
      <w:pPr>
        <w:pStyle w:val="ListParagraph"/>
        <w:ind w:left="1080"/>
        <w:rPr>
          <w:rFonts w:ascii="Times New Roman" w:hAnsi="Times New Roman" w:cs="Times New Roman"/>
          <w:sz w:val="32"/>
          <w:szCs w:val="32"/>
        </w:rPr>
      </w:pPr>
    </w:p>
    <w:p w:rsidR="00B3578E" w:rsidRDefault="00B3578E" w:rsidP="00E42270">
      <w:pPr>
        <w:pStyle w:val="ListParagraph"/>
        <w:ind w:left="1080"/>
        <w:rPr>
          <w:rFonts w:ascii="Times New Roman" w:hAnsi="Times New Roman" w:cs="Times New Roman"/>
          <w:sz w:val="32"/>
          <w:szCs w:val="32"/>
        </w:rPr>
      </w:pPr>
    </w:p>
    <w:p w:rsidR="00B3578E" w:rsidRDefault="00B3578E" w:rsidP="00E42270">
      <w:pPr>
        <w:pStyle w:val="ListParagraph"/>
        <w:ind w:left="1080"/>
        <w:rPr>
          <w:rFonts w:ascii="Times New Roman" w:hAnsi="Times New Roman" w:cs="Times New Roman"/>
          <w:sz w:val="32"/>
          <w:szCs w:val="32"/>
        </w:rPr>
      </w:pPr>
    </w:p>
    <w:p w:rsidR="00B3578E" w:rsidRDefault="00B3578E" w:rsidP="00E42270">
      <w:pPr>
        <w:pStyle w:val="ListParagraph"/>
        <w:ind w:left="1080"/>
        <w:rPr>
          <w:rFonts w:ascii="Times New Roman" w:hAnsi="Times New Roman" w:cs="Times New Roman"/>
          <w:sz w:val="32"/>
          <w:szCs w:val="32"/>
        </w:rPr>
      </w:pPr>
    </w:p>
    <w:p w:rsidR="00B3578E" w:rsidRDefault="00B3578E" w:rsidP="00E42270">
      <w:pPr>
        <w:pStyle w:val="ListParagraph"/>
        <w:ind w:left="1080"/>
        <w:rPr>
          <w:rFonts w:ascii="Times New Roman" w:hAnsi="Times New Roman" w:cs="Times New Roman"/>
          <w:sz w:val="32"/>
          <w:szCs w:val="32"/>
        </w:rPr>
      </w:pPr>
    </w:p>
    <w:p w:rsidR="00B3578E" w:rsidRDefault="00B3578E" w:rsidP="00E42270">
      <w:pPr>
        <w:pStyle w:val="ListParagraph"/>
        <w:ind w:left="1080"/>
        <w:rPr>
          <w:rFonts w:ascii="Times New Roman" w:hAnsi="Times New Roman" w:cs="Times New Roman"/>
          <w:sz w:val="32"/>
          <w:szCs w:val="32"/>
        </w:rPr>
      </w:pPr>
    </w:p>
    <w:p w:rsidR="00B3578E" w:rsidRDefault="00B3578E" w:rsidP="00E42270">
      <w:pPr>
        <w:pStyle w:val="ListParagraph"/>
        <w:ind w:left="1080"/>
        <w:rPr>
          <w:rFonts w:ascii="Times New Roman" w:hAnsi="Times New Roman" w:cs="Times New Roman"/>
          <w:sz w:val="32"/>
          <w:szCs w:val="32"/>
        </w:rPr>
      </w:pPr>
    </w:p>
    <w:p w:rsidR="00B3578E" w:rsidRDefault="00B3578E" w:rsidP="00E42270">
      <w:pPr>
        <w:pStyle w:val="ListParagraph"/>
        <w:ind w:left="1080"/>
        <w:rPr>
          <w:rFonts w:ascii="Times New Roman" w:hAnsi="Times New Roman" w:cs="Times New Roman"/>
          <w:sz w:val="32"/>
          <w:szCs w:val="32"/>
        </w:rPr>
      </w:pPr>
    </w:p>
    <w:p w:rsidR="00B3578E" w:rsidRDefault="00B3578E" w:rsidP="00E42270">
      <w:pPr>
        <w:pStyle w:val="ListParagraph"/>
        <w:ind w:left="1080"/>
        <w:rPr>
          <w:rFonts w:ascii="Times New Roman" w:hAnsi="Times New Roman" w:cs="Times New Roman"/>
          <w:sz w:val="32"/>
          <w:szCs w:val="32"/>
        </w:rPr>
      </w:pPr>
    </w:p>
    <w:p w:rsidR="00B3578E" w:rsidRDefault="00B3578E" w:rsidP="00E42270">
      <w:pPr>
        <w:pStyle w:val="ListParagraph"/>
        <w:ind w:left="1080"/>
        <w:rPr>
          <w:rFonts w:ascii="Times New Roman" w:hAnsi="Times New Roman" w:cs="Times New Roman"/>
          <w:sz w:val="32"/>
          <w:szCs w:val="32"/>
        </w:rPr>
      </w:pPr>
    </w:p>
    <w:p w:rsidR="00B3578E" w:rsidRDefault="00B3578E" w:rsidP="00E42270">
      <w:pPr>
        <w:pStyle w:val="ListParagraph"/>
        <w:ind w:left="1080"/>
        <w:rPr>
          <w:rFonts w:ascii="Times New Roman" w:hAnsi="Times New Roman" w:cs="Times New Roman"/>
          <w:sz w:val="32"/>
          <w:szCs w:val="32"/>
        </w:rPr>
      </w:pPr>
    </w:p>
    <w:p w:rsidR="00B3578E" w:rsidRDefault="00B3578E" w:rsidP="00E42270">
      <w:pPr>
        <w:pStyle w:val="ListParagraph"/>
        <w:ind w:left="1080"/>
        <w:rPr>
          <w:rFonts w:ascii="Times New Roman" w:hAnsi="Times New Roman" w:cs="Times New Roman"/>
          <w:sz w:val="32"/>
          <w:szCs w:val="32"/>
        </w:rPr>
      </w:pPr>
    </w:p>
    <w:p w:rsidR="00B3578E" w:rsidRDefault="00B3578E" w:rsidP="00E42270">
      <w:pPr>
        <w:pStyle w:val="ListParagraph"/>
        <w:ind w:left="1080"/>
        <w:rPr>
          <w:rFonts w:ascii="Times New Roman" w:hAnsi="Times New Roman" w:cs="Times New Roman"/>
          <w:sz w:val="32"/>
          <w:szCs w:val="32"/>
        </w:rPr>
      </w:pPr>
    </w:p>
    <w:p w:rsidR="00B3578E" w:rsidRDefault="00B3578E" w:rsidP="00E42270">
      <w:pPr>
        <w:pStyle w:val="ListParagraph"/>
        <w:ind w:left="1080"/>
        <w:rPr>
          <w:rFonts w:ascii="Times New Roman" w:hAnsi="Times New Roman" w:cs="Times New Roman"/>
          <w:sz w:val="32"/>
          <w:szCs w:val="32"/>
        </w:rPr>
      </w:pPr>
    </w:p>
    <w:p w:rsidR="00B3578E" w:rsidRDefault="00B3578E" w:rsidP="00E42270">
      <w:pPr>
        <w:pStyle w:val="ListParagraph"/>
        <w:ind w:left="1080"/>
        <w:rPr>
          <w:rFonts w:ascii="Times New Roman" w:hAnsi="Times New Roman" w:cs="Times New Roman"/>
          <w:sz w:val="32"/>
          <w:szCs w:val="32"/>
        </w:rPr>
      </w:pPr>
    </w:p>
    <w:p w:rsidR="00B3578E" w:rsidRDefault="00B3578E" w:rsidP="00E42270">
      <w:pPr>
        <w:pStyle w:val="ListParagraph"/>
        <w:ind w:left="1080"/>
        <w:rPr>
          <w:rFonts w:ascii="Times New Roman" w:hAnsi="Times New Roman" w:cs="Times New Roman"/>
          <w:sz w:val="32"/>
          <w:szCs w:val="32"/>
        </w:rPr>
      </w:pPr>
    </w:p>
    <w:p w:rsidR="00B3578E" w:rsidRPr="00E42270" w:rsidRDefault="00B3578E" w:rsidP="00E42270">
      <w:pPr>
        <w:pStyle w:val="ListParagraph"/>
        <w:ind w:left="1080"/>
        <w:rPr>
          <w:rFonts w:ascii="Times New Roman" w:hAnsi="Times New Roman" w:cs="Times New Roman"/>
          <w:sz w:val="32"/>
          <w:szCs w:val="32"/>
        </w:rPr>
      </w:pPr>
    </w:p>
    <w:sectPr w:rsidR="00B3578E" w:rsidRPr="00E42270" w:rsidSect="00FC0ADD">
      <w:pgSz w:w="11906" w:h="16838"/>
      <w:pgMar w:top="1440" w:right="1440" w:bottom="1440" w:left="144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A5CBE"/>
    <w:multiLevelType w:val="hybridMultilevel"/>
    <w:tmpl w:val="003C34BA"/>
    <w:lvl w:ilvl="0" w:tplc="F49EEE14">
      <w:start w:val="1"/>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D954A11"/>
    <w:multiLevelType w:val="hybridMultilevel"/>
    <w:tmpl w:val="6E24D636"/>
    <w:lvl w:ilvl="0" w:tplc="FC5050FC">
      <w:start w:val="1"/>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B4D3F24"/>
    <w:multiLevelType w:val="hybridMultilevel"/>
    <w:tmpl w:val="E182EF6A"/>
    <w:lvl w:ilvl="0" w:tplc="69BA6358">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270"/>
    <w:rsid w:val="000D3976"/>
    <w:rsid w:val="001910C0"/>
    <w:rsid w:val="002D301D"/>
    <w:rsid w:val="00351AE4"/>
    <w:rsid w:val="00352ADD"/>
    <w:rsid w:val="0051670C"/>
    <w:rsid w:val="005307D6"/>
    <w:rsid w:val="00641FF5"/>
    <w:rsid w:val="00A575EB"/>
    <w:rsid w:val="00B3578E"/>
    <w:rsid w:val="00C5759D"/>
    <w:rsid w:val="00DE71A6"/>
    <w:rsid w:val="00E42270"/>
    <w:rsid w:val="00EB07D9"/>
    <w:rsid w:val="00F22EB0"/>
    <w:rsid w:val="00FC0AD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03D02-29A2-42DD-9A66-F80085F9E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270"/>
    <w:pPr>
      <w:ind w:left="720"/>
      <w:contextualSpacing/>
    </w:pPr>
  </w:style>
  <w:style w:type="character" w:styleId="Hyperlink">
    <w:name w:val="Hyperlink"/>
    <w:basedOn w:val="DefaultParagraphFont"/>
    <w:uiPriority w:val="99"/>
    <w:unhideWhenUsed/>
    <w:rsid w:val="005307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hildhingra9697@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9DDA2-41CB-4D19-A510-F05383CA3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2021-01-03T03:42:00Z</dcterms:created>
  <dcterms:modified xsi:type="dcterms:W3CDTF">2021-01-03T04:47:00Z</dcterms:modified>
</cp:coreProperties>
</file>